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5"/>
        <w:gridCol w:w="7012"/>
      </w:tblGrid>
      <w:tr w:rsidR="0094322E" w14:paraId="03B3CADC" w14:textId="77777777" w:rsidTr="00843B22">
        <w:trPr>
          <w:trHeight w:hRule="exact" w:val="637"/>
        </w:trPr>
        <w:tc>
          <w:tcPr>
            <w:tcW w:w="10747" w:type="dxa"/>
            <w:gridSpan w:val="2"/>
            <w:shd w:val="clear" w:color="auto" w:fill="auto"/>
          </w:tcPr>
          <w:p w14:paraId="60BE684A" w14:textId="0C175790" w:rsidR="0094322E" w:rsidRPr="00843B22" w:rsidRDefault="00843B2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 w:rsidRPr="00843B22">
              <w:rPr>
                <w:rFonts w:ascii="Arial" w:hAnsi="Arial" w:cs="Arial"/>
                <w:b/>
                <w:bCs/>
                <w:sz w:val="24"/>
                <w:u w:val="single"/>
              </w:rPr>
              <w:t>I</w:t>
            </w:r>
            <w:r w:rsidRPr="00843B22">
              <w:rPr>
                <w:rFonts w:ascii="Arial" w:hAnsi="Arial" w:cs="Arial"/>
                <w:b/>
                <w:bCs/>
                <w:sz w:val="24"/>
                <w:u w:val="single"/>
              </w:rPr>
              <w:t>nformac</w:t>
            </w:r>
            <w:r w:rsidRPr="00843B22">
              <w:rPr>
                <w:rFonts w:ascii="Arial" w:hAnsi="Arial" w:cs="Arial"/>
                <w:b/>
                <w:bCs/>
                <w:sz w:val="24"/>
                <w:u w:val="single"/>
              </w:rPr>
              <w:t>e</w:t>
            </w:r>
            <w:r w:rsidRPr="00843B22">
              <w:rPr>
                <w:rFonts w:ascii="Arial" w:hAnsi="Arial" w:cs="Arial"/>
                <w:b/>
                <w:bCs/>
                <w:sz w:val="24"/>
                <w:u w:val="single"/>
              </w:rPr>
              <w:t xml:space="preserve"> k zákonu o omezení plateb v hotovosti a spolupráce s</w:t>
            </w:r>
            <w:r w:rsidRPr="00843B22">
              <w:rPr>
                <w:rFonts w:ascii="Arial" w:hAnsi="Arial" w:cs="Arial"/>
                <w:b/>
                <w:bCs/>
                <w:sz w:val="24"/>
                <w:u w:val="single"/>
              </w:rPr>
              <w:t> </w:t>
            </w:r>
            <w:r w:rsidRPr="00843B22">
              <w:rPr>
                <w:rFonts w:ascii="Arial" w:hAnsi="Arial" w:cs="Arial"/>
                <w:b/>
                <w:bCs/>
                <w:sz w:val="24"/>
                <w:u w:val="single"/>
              </w:rPr>
              <w:t>FAÚ</w:t>
            </w:r>
            <w:r>
              <w:rPr>
                <w:rFonts w:ascii="Arial" w:hAnsi="Arial" w:cs="Arial"/>
                <w:b/>
                <w:bCs/>
                <w:sz w:val="24"/>
              </w:rPr>
              <w:t xml:space="preserve"> (96/25)</w:t>
            </w:r>
          </w:p>
        </w:tc>
      </w:tr>
      <w:tr w:rsidR="0094322E" w14:paraId="3DCF13A2" w14:textId="77777777" w:rsidTr="00843B22">
        <w:trPr>
          <w:trHeight w:hRule="exact" w:val="523"/>
        </w:trPr>
        <w:tc>
          <w:tcPr>
            <w:tcW w:w="3735" w:type="dxa"/>
            <w:shd w:val="clear" w:color="auto" w:fill="auto"/>
          </w:tcPr>
          <w:p w14:paraId="5B9F3048" w14:textId="77777777" w:rsidR="0094322E" w:rsidRPr="00843B22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3B22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7011" w:type="dxa"/>
          </w:tcPr>
          <w:p w14:paraId="050C2409" w14:textId="77777777" w:rsidR="0094322E" w:rsidRPr="00843B22" w:rsidRDefault="009432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322E" w14:paraId="1000E2FA" w14:textId="77777777" w:rsidTr="00843B22">
        <w:trPr>
          <w:trHeight w:hRule="exact" w:val="114"/>
        </w:trPr>
        <w:tc>
          <w:tcPr>
            <w:tcW w:w="10747" w:type="dxa"/>
            <w:gridSpan w:val="2"/>
          </w:tcPr>
          <w:p w14:paraId="4C3107B1" w14:textId="77777777" w:rsidR="0094322E" w:rsidRPr="00843B22" w:rsidRDefault="009432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322E" w14:paraId="56B1C797" w14:textId="77777777" w:rsidTr="00843B22">
        <w:trPr>
          <w:trHeight w:hRule="exact" w:val="3269"/>
        </w:trPr>
        <w:tc>
          <w:tcPr>
            <w:tcW w:w="10747" w:type="dxa"/>
            <w:gridSpan w:val="2"/>
            <w:vMerge w:val="restart"/>
            <w:shd w:val="clear" w:color="auto" w:fill="auto"/>
            <w:tcMar>
              <w:left w:w="72" w:type="dxa"/>
              <w:right w:w="72" w:type="dxa"/>
            </w:tcMar>
          </w:tcPr>
          <w:p w14:paraId="0D1043DA" w14:textId="77777777" w:rsidR="0094322E" w:rsidRPr="00843B22" w:rsidRDefault="0094322E" w:rsidP="00843B22">
            <w:pPr>
              <w:spacing w:line="276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4407AA0F" w14:textId="77777777" w:rsidR="0094322E" w:rsidRPr="00843B22" w:rsidRDefault="00000000" w:rsidP="00843B22">
            <w:pPr>
              <w:spacing w:line="276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3B22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 poskytnutí informací k následujícím dotazům. </w:t>
            </w:r>
          </w:p>
          <w:p w14:paraId="13B40FDF" w14:textId="77777777" w:rsidR="0094322E" w:rsidRPr="00843B22" w:rsidRDefault="00000000" w:rsidP="00843B22">
            <w:pPr>
              <w:spacing w:line="276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3B22">
              <w:rPr>
                <w:rFonts w:ascii="Arial" w:eastAsia="Arial" w:hAnsi="Arial" w:cs="Arial"/>
                <w:spacing w:val="-2"/>
                <w:sz w:val="22"/>
                <w:szCs w:val="22"/>
              </w:rPr>
              <w:t>Metodika a prahové hodnoty </w:t>
            </w:r>
          </w:p>
          <w:p w14:paraId="6CDB2DAA" w14:textId="448536DC" w:rsidR="0094322E" w:rsidRPr="00843B22" w:rsidRDefault="00000000" w:rsidP="00843B22">
            <w:pPr>
              <w:spacing w:line="276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3B22">
              <w:rPr>
                <w:rFonts w:ascii="Arial" w:eastAsia="Arial" w:hAnsi="Arial" w:cs="Arial"/>
                <w:spacing w:val="-2"/>
                <w:sz w:val="22"/>
                <w:szCs w:val="22"/>
              </w:rPr>
              <w:t>1. Jaká je metodika Finanční správy k vyhodnocování vkladů hotovosti na bankovní účty daňových subjektů z</w:t>
            </w:r>
            <w:r w:rsidR="00843B22">
              <w:rPr>
                <w:rFonts w:ascii="Arial" w:eastAsia="Arial" w:hAnsi="Arial" w:cs="Arial"/>
                <w:spacing w:val="-2"/>
                <w:sz w:val="22"/>
                <w:szCs w:val="22"/>
              </w:rPr>
              <w:t> </w:t>
            </w:r>
            <w:r w:rsidRPr="00843B22">
              <w:rPr>
                <w:rFonts w:ascii="Arial" w:eastAsia="Arial" w:hAnsi="Arial" w:cs="Arial"/>
                <w:spacing w:val="-2"/>
                <w:sz w:val="22"/>
                <w:szCs w:val="22"/>
              </w:rPr>
              <w:t>hlediska správy daní?</w:t>
            </w:r>
          </w:p>
          <w:p w14:paraId="07998E54" w14:textId="77777777" w:rsidR="0094322E" w:rsidRPr="00843B22" w:rsidRDefault="00000000" w:rsidP="00843B22">
            <w:pPr>
              <w:spacing w:line="276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3B22">
              <w:rPr>
                <w:rFonts w:ascii="Arial" w:eastAsia="Arial" w:hAnsi="Arial" w:cs="Arial"/>
                <w:spacing w:val="-2"/>
                <w:sz w:val="22"/>
                <w:szCs w:val="22"/>
              </w:rPr>
              <w:t>2. Existují konkrétní částky či interní pravidla (prahové hodnoty, scoring), při nichž je zahajováno prověření původu prostředků?</w:t>
            </w:r>
          </w:p>
          <w:p w14:paraId="7A65930A" w14:textId="63705914" w:rsidR="0094322E" w:rsidRPr="00843B22" w:rsidRDefault="00000000" w:rsidP="00843B22">
            <w:pPr>
              <w:spacing w:line="276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3B22">
              <w:rPr>
                <w:rFonts w:ascii="Arial" w:eastAsia="Arial" w:hAnsi="Arial" w:cs="Arial"/>
                <w:spacing w:val="-2"/>
                <w:sz w:val="22"/>
                <w:szCs w:val="22"/>
              </w:rPr>
              <w:t>3. Jak FÚ rozlišuje mezi vkladem na vlastní účet a hotovostní platbou podléhající limitu § 4 zákona č.</w:t>
            </w:r>
            <w:r w:rsidR="00843B22">
              <w:rPr>
                <w:rFonts w:ascii="Arial" w:eastAsia="Arial" w:hAnsi="Arial" w:cs="Arial"/>
                <w:spacing w:val="-2"/>
                <w:sz w:val="22"/>
                <w:szCs w:val="22"/>
              </w:rPr>
              <w:t> </w:t>
            </w:r>
            <w:r w:rsidRPr="00843B22">
              <w:rPr>
                <w:rFonts w:ascii="Arial" w:eastAsia="Arial" w:hAnsi="Arial" w:cs="Arial"/>
                <w:spacing w:val="-2"/>
                <w:sz w:val="22"/>
                <w:szCs w:val="22"/>
              </w:rPr>
              <w:t>254/2004</w:t>
            </w:r>
            <w:r w:rsidR="00843B22">
              <w:rPr>
                <w:rFonts w:ascii="Arial" w:eastAsia="Arial" w:hAnsi="Arial" w:cs="Arial"/>
                <w:spacing w:val="-2"/>
                <w:sz w:val="22"/>
                <w:szCs w:val="22"/>
              </w:rPr>
              <w:t> </w:t>
            </w:r>
            <w:r w:rsidRPr="00843B22">
              <w:rPr>
                <w:rFonts w:ascii="Arial" w:eastAsia="Arial" w:hAnsi="Arial" w:cs="Arial"/>
                <w:spacing w:val="-2"/>
                <w:sz w:val="22"/>
                <w:szCs w:val="22"/>
              </w:rPr>
              <w:t>Sb.? </w:t>
            </w:r>
          </w:p>
          <w:p w14:paraId="58D4E575" w14:textId="77777777" w:rsidR="0094322E" w:rsidRPr="00843B22" w:rsidRDefault="00000000" w:rsidP="00843B22">
            <w:pPr>
              <w:spacing w:line="276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3B22">
              <w:rPr>
                <w:rFonts w:ascii="Arial" w:eastAsia="Arial" w:hAnsi="Arial" w:cs="Arial"/>
                <w:spacing w:val="-2"/>
                <w:sz w:val="22"/>
                <w:szCs w:val="22"/>
              </w:rPr>
              <w:t>Součinnost s bankami a FAÚ </w:t>
            </w:r>
          </w:p>
          <w:p w14:paraId="42945E5A" w14:textId="77777777" w:rsidR="0094322E" w:rsidRPr="00843B22" w:rsidRDefault="00000000" w:rsidP="00843B22">
            <w:pPr>
              <w:spacing w:line="276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3B22">
              <w:rPr>
                <w:rFonts w:ascii="Arial" w:eastAsia="Arial" w:hAnsi="Arial" w:cs="Arial"/>
                <w:spacing w:val="-2"/>
                <w:sz w:val="22"/>
                <w:szCs w:val="22"/>
              </w:rPr>
              <w:t>4. Podle jakých ustanovení § 52 až § 58 daňového řádu může FÚ vyžádat od bank w o vkladech a pohybech na účtu?</w:t>
            </w:r>
          </w:p>
          <w:p w14:paraId="4D912E7E" w14:textId="77777777" w:rsidR="0094322E" w:rsidRPr="00843B22" w:rsidRDefault="00000000" w:rsidP="00843B22">
            <w:pPr>
              <w:spacing w:line="276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3B22">
              <w:rPr>
                <w:rFonts w:ascii="Arial" w:eastAsia="Arial" w:hAnsi="Arial" w:cs="Arial"/>
                <w:spacing w:val="-2"/>
                <w:sz w:val="22"/>
                <w:szCs w:val="22"/>
              </w:rPr>
              <w:t>5. Jakým způsobem jsou Finanční správě předávány podněty od Finančního analytického úřadu (§ 18 AML zákona)?</w:t>
            </w:r>
          </w:p>
          <w:p w14:paraId="164BC416" w14:textId="77777777" w:rsidR="0094322E" w:rsidRPr="00843B22" w:rsidRDefault="00000000" w:rsidP="00843B22">
            <w:pPr>
              <w:spacing w:line="276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3B22">
              <w:rPr>
                <w:rFonts w:ascii="Arial" w:eastAsia="Arial" w:hAnsi="Arial" w:cs="Arial"/>
                <w:spacing w:val="-2"/>
                <w:sz w:val="22"/>
                <w:szCs w:val="22"/>
              </w:rPr>
              <w:t>6. Jaké minimální náležitosti musí mít podnět od FAÚ k zahájení úkony správy daní a zda je vytvářena spisová značka? P</w:t>
            </w:r>
          </w:p>
          <w:p w14:paraId="7D4F9062" w14:textId="77777777" w:rsidR="0094322E" w:rsidRPr="00843B22" w:rsidRDefault="00000000" w:rsidP="00843B22">
            <w:pPr>
              <w:spacing w:line="276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3B22">
              <w:rPr>
                <w:rFonts w:ascii="Arial" w:eastAsia="Arial" w:hAnsi="Arial" w:cs="Arial"/>
                <w:spacing w:val="-2"/>
                <w:sz w:val="22"/>
                <w:szCs w:val="22"/>
              </w:rPr>
              <w:t>Prověřování původu prostředků  </w:t>
            </w:r>
          </w:p>
          <w:p w14:paraId="1FA3631B" w14:textId="77777777" w:rsidR="0094322E" w:rsidRPr="00843B22" w:rsidRDefault="00000000" w:rsidP="00843B22">
            <w:pPr>
              <w:spacing w:line="276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3B22">
              <w:rPr>
                <w:rFonts w:ascii="Arial" w:eastAsia="Arial" w:hAnsi="Arial" w:cs="Arial"/>
                <w:spacing w:val="-2"/>
                <w:sz w:val="22"/>
                <w:szCs w:val="22"/>
              </w:rPr>
              <w:t>7. Kdy a jak FÚ vyzývá poplatníka k prokázání původu prostředků – jaké důkazní prostředky uznává (§ 92 daňového řádu)?</w:t>
            </w:r>
          </w:p>
          <w:p w14:paraId="4142DC0E" w14:textId="77777777" w:rsidR="0094322E" w:rsidRPr="00843B22" w:rsidRDefault="00000000" w:rsidP="00843B22">
            <w:pPr>
              <w:spacing w:line="276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3B22">
              <w:rPr>
                <w:rFonts w:ascii="Arial" w:eastAsia="Arial" w:hAnsi="Arial" w:cs="Arial"/>
                <w:spacing w:val="-2"/>
                <w:sz w:val="22"/>
                <w:szCs w:val="22"/>
              </w:rPr>
              <w:t>8. Jaké jsou lhůty a důsledky neposkytnutí součinnosti?</w:t>
            </w:r>
          </w:p>
          <w:p w14:paraId="62DFD983" w14:textId="77777777" w:rsidR="0094322E" w:rsidRPr="00843B22" w:rsidRDefault="00000000" w:rsidP="00843B22">
            <w:pPr>
              <w:spacing w:line="276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3B22">
              <w:rPr>
                <w:rFonts w:ascii="Arial" w:eastAsia="Arial" w:hAnsi="Arial" w:cs="Arial"/>
                <w:spacing w:val="-2"/>
                <w:sz w:val="22"/>
                <w:szCs w:val="22"/>
              </w:rPr>
              <w:t>9. Jak je metodicky upravován postup u opakovaných vkladů v kratších intervalech (structuring)? </w:t>
            </w:r>
          </w:p>
          <w:p w14:paraId="1821AF98" w14:textId="77777777" w:rsidR="0094322E" w:rsidRPr="00843B22" w:rsidRDefault="00000000" w:rsidP="00843B22">
            <w:pPr>
              <w:spacing w:line="276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3B22">
              <w:rPr>
                <w:rFonts w:ascii="Arial" w:eastAsia="Arial" w:hAnsi="Arial" w:cs="Arial"/>
                <w:spacing w:val="-2"/>
                <w:sz w:val="22"/>
                <w:szCs w:val="22"/>
              </w:rPr>
              <w:t>Vztah k zákonu o omezení plateb v hotovosti</w:t>
            </w:r>
          </w:p>
          <w:p w14:paraId="211645F0" w14:textId="77777777" w:rsidR="0094322E" w:rsidRPr="00843B22" w:rsidRDefault="00000000" w:rsidP="00843B22">
            <w:pPr>
              <w:spacing w:line="276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3B22">
              <w:rPr>
                <w:rFonts w:ascii="Arial" w:eastAsia="Arial" w:hAnsi="Arial" w:cs="Arial"/>
                <w:spacing w:val="-2"/>
                <w:sz w:val="22"/>
                <w:szCs w:val="22"/>
              </w:rPr>
              <w:t>10. Potvrďte, že vklad na vlastní bankovní účet není platbou v hotovosti ve smyslu § 2 a § 4 zákona č. 254/2004 Sb., a uveďte, zda FÚ řeší přestupky v této souvislosti. </w:t>
            </w:r>
          </w:p>
          <w:p w14:paraId="1B383D89" w14:textId="77777777" w:rsidR="0094322E" w:rsidRPr="00843B22" w:rsidRDefault="00000000" w:rsidP="00843B22">
            <w:pPr>
              <w:spacing w:line="276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3B22">
              <w:rPr>
                <w:rFonts w:ascii="Arial" w:eastAsia="Arial" w:hAnsi="Arial" w:cs="Arial"/>
                <w:spacing w:val="-2"/>
                <w:sz w:val="22"/>
                <w:szCs w:val="22"/>
              </w:rPr>
              <w:t>11. Jak probíhá řízení při zjištění, že platba mezi osobami překročila limit 270 000 Kč? </w:t>
            </w:r>
          </w:p>
          <w:p w14:paraId="4F62F0CB" w14:textId="77777777" w:rsidR="0094322E" w:rsidRPr="00843B22" w:rsidRDefault="00000000" w:rsidP="00843B22">
            <w:pPr>
              <w:spacing w:line="276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3B22">
              <w:rPr>
                <w:rFonts w:ascii="Arial" w:eastAsia="Arial" w:hAnsi="Arial" w:cs="Arial"/>
                <w:spacing w:val="-2"/>
                <w:sz w:val="22"/>
                <w:szCs w:val="22"/>
              </w:rPr>
              <w:t>Statistika a anonymizované výstupy </w:t>
            </w:r>
          </w:p>
          <w:p w14:paraId="5989E40A" w14:textId="19398974" w:rsidR="0094322E" w:rsidRPr="00843B22" w:rsidRDefault="00000000" w:rsidP="00843B22">
            <w:pPr>
              <w:spacing w:line="276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3B22">
              <w:rPr>
                <w:rFonts w:ascii="Arial" w:eastAsia="Arial" w:hAnsi="Arial" w:cs="Arial"/>
                <w:spacing w:val="-2"/>
                <w:sz w:val="22"/>
                <w:szCs w:val="22"/>
              </w:rPr>
              <w:t>12. Uveďte počty podnětů od FAÚ</w:t>
            </w:r>
            <w:r w:rsidR="00843B22" w:rsidRPr="00843B22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="00843B22" w:rsidRPr="00843B22">
              <w:rPr>
                <w:rFonts w:ascii="Arial" w:eastAsia="Arial" w:hAnsi="Arial" w:cs="Arial"/>
                <w:spacing w:val="-2"/>
                <w:sz w:val="22"/>
                <w:szCs w:val="22"/>
              </w:rPr>
              <w:t>za poslední 3 roky</w:t>
            </w:r>
            <w:r w:rsidRPr="00843B22">
              <w:rPr>
                <w:rFonts w:ascii="Arial" w:eastAsia="Arial" w:hAnsi="Arial" w:cs="Arial"/>
                <w:spacing w:val="-2"/>
                <w:sz w:val="22"/>
                <w:szCs w:val="22"/>
              </w:rPr>
              <w:t>. </w:t>
            </w:r>
          </w:p>
          <w:p w14:paraId="46265802" w14:textId="77777777" w:rsidR="0094322E" w:rsidRPr="00843B22" w:rsidRDefault="00000000" w:rsidP="00843B22">
            <w:pPr>
              <w:spacing w:line="276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3B22">
              <w:rPr>
                <w:rFonts w:ascii="Arial" w:eastAsia="Arial" w:hAnsi="Arial" w:cs="Arial"/>
                <w:spacing w:val="-2"/>
                <w:sz w:val="22"/>
                <w:szCs w:val="22"/>
              </w:rPr>
              <w:t>13. Zpřístupněte anonymizované vzorové výzvy k prokázání původu prostředků (§ 8b InfZ).</w:t>
            </w:r>
          </w:p>
          <w:p w14:paraId="702A151E" w14:textId="77777777" w:rsidR="0094322E" w:rsidRPr="00843B22" w:rsidRDefault="00000000" w:rsidP="00843B22">
            <w:pPr>
              <w:spacing w:line="276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3B22">
              <w:rPr>
                <w:rFonts w:ascii="Arial" w:eastAsia="Arial" w:hAnsi="Arial" w:cs="Arial"/>
                <w:spacing w:val="-2"/>
                <w:sz w:val="22"/>
                <w:szCs w:val="22"/>
              </w:rPr>
              <w:t>Ochrana osobních údajů a archivace</w:t>
            </w:r>
          </w:p>
          <w:p w14:paraId="5527EA55" w14:textId="77777777" w:rsidR="0094322E" w:rsidRPr="00843B22" w:rsidRDefault="00000000" w:rsidP="00843B22">
            <w:pPr>
              <w:spacing w:line="276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3B22">
              <w:rPr>
                <w:rFonts w:ascii="Arial" w:eastAsia="Arial" w:hAnsi="Arial" w:cs="Arial"/>
                <w:spacing w:val="-2"/>
                <w:sz w:val="22"/>
                <w:szCs w:val="22"/>
              </w:rPr>
              <w:t>14. Jak dlouho FÚ uchovává údaje získané od bank a FAÚ a na jakém právním základě (čl. 6 GDPR, § 65 daňového řádu)? </w:t>
            </w:r>
          </w:p>
          <w:p w14:paraId="2A3537FE" w14:textId="77777777" w:rsidR="0094322E" w:rsidRPr="00843B22" w:rsidRDefault="00000000" w:rsidP="00843B22">
            <w:pPr>
              <w:spacing w:line="276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3B22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15. Jaký je postup pro žádost o opravu nebo výmaz osobních údajů (dle čl. 15 a 17 GDPR)? </w:t>
            </w:r>
          </w:p>
        </w:tc>
      </w:tr>
      <w:tr w:rsidR="0094322E" w14:paraId="06EBE0BA" w14:textId="77777777" w:rsidTr="00843B22">
        <w:trPr>
          <w:trHeight w:hRule="exact" w:val="2500"/>
        </w:trPr>
        <w:tc>
          <w:tcPr>
            <w:tcW w:w="10747" w:type="dxa"/>
            <w:gridSpan w:val="2"/>
            <w:vMerge/>
            <w:shd w:val="clear" w:color="auto" w:fill="auto"/>
          </w:tcPr>
          <w:p w14:paraId="7D42CE28" w14:textId="77777777" w:rsidR="0094322E" w:rsidRPr="00843B22" w:rsidRDefault="009432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322E" w14:paraId="31566EDC" w14:textId="77777777" w:rsidTr="00843B22">
        <w:trPr>
          <w:trHeight w:hRule="exact" w:val="3778"/>
        </w:trPr>
        <w:tc>
          <w:tcPr>
            <w:tcW w:w="10747" w:type="dxa"/>
            <w:gridSpan w:val="2"/>
            <w:vMerge/>
            <w:shd w:val="clear" w:color="auto" w:fill="auto"/>
          </w:tcPr>
          <w:p w14:paraId="2218ED5B" w14:textId="77777777" w:rsidR="0094322E" w:rsidRPr="00843B22" w:rsidRDefault="009432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9C02A4F" w14:textId="77777777" w:rsidR="00843B22" w:rsidRDefault="00843B22">
      <w:r>
        <w:br w:type="page"/>
      </w:r>
    </w:p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94322E" w14:paraId="10CF78AF" w14:textId="77777777" w:rsidTr="00843B22">
        <w:trPr>
          <w:trHeight w:hRule="exact" w:val="444"/>
        </w:trPr>
        <w:tc>
          <w:tcPr>
            <w:tcW w:w="3725" w:type="dxa"/>
            <w:shd w:val="clear" w:color="auto" w:fill="auto"/>
          </w:tcPr>
          <w:p w14:paraId="103C9F74" w14:textId="23F99B1B" w:rsidR="0094322E" w:rsidRPr="00843B22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3B22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lastRenderedPageBreak/>
              <w:t>Odpověď:</w:t>
            </w:r>
          </w:p>
        </w:tc>
        <w:tc>
          <w:tcPr>
            <w:tcW w:w="6992" w:type="dxa"/>
          </w:tcPr>
          <w:p w14:paraId="00BDEA3B" w14:textId="77777777" w:rsidR="0094322E" w:rsidRPr="00843B22" w:rsidRDefault="009432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322E" w14:paraId="246591D7" w14:textId="77777777" w:rsidTr="00843B22">
        <w:trPr>
          <w:trHeight w:hRule="exact" w:val="115"/>
        </w:trPr>
        <w:tc>
          <w:tcPr>
            <w:tcW w:w="10717" w:type="dxa"/>
            <w:gridSpan w:val="2"/>
          </w:tcPr>
          <w:p w14:paraId="02557B3D" w14:textId="77777777" w:rsidR="0094322E" w:rsidRPr="00843B22" w:rsidRDefault="009432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322E" w14:paraId="2A34835C" w14:textId="77777777" w:rsidTr="00843B22">
        <w:trPr>
          <w:trHeight w:hRule="exact" w:val="13553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DFAEDD4" w14:textId="77777777" w:rsidR="00843B22" w:rsidRPr="00843B22" w:rsidRDefault="00843B22" w:rsidP="00843B22">
            <w:pPr>
              <w:spacing w:line="276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3B22"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  <w:t xml:space="preserve">Ad 1. Povinný subjekt nevydal žádný metodický materiál k otázce vyhodnocování vkladů v hotovosti na bankovní účty. Zvýšený objem hotovostních transakcí, případně jejich jednotlivá či kumulativní výše v určitém období může být vnímán jako riziko při správě daní, vždy však bude záležet na konkrétních okolnostech případu. </w:t>
            </w:r>
          </w:p>
          <w:p w14:paraId="5E82AD10" w14:textId="77777777" w:rsidR="00843B22" w:rsidRPr="00843B22" w:rsidRDefault="00843B22" w:rsidP="00843B22">
            <w:pPr>
              <w:spacing w:line="276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3B22"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  <w:t xml:space="preserve">Ad 2. K Vašemu dotazu sdělujeme, že neexistují žádné konkrétní částky či interní pravidla, při nichž je zahajováno prověření původu prostředků. </w:t>
            </w:r>
          </w:p>
          <w:p w14:paraId="563630DA" w14:textId="319AD716" w:rsidR="00843B22" w:rsidRPr="00843B22" w:rsidRDefault="00843B22" w:rsidP="00843B22">
            <w:pPr>
              <w:spacing w:line="276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3B22"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  <w:t xml:space="preserve">Ad 3. Dle § 2 odst. 2 písm. a) AML se vklad na účet vedený u peněžního ústavu za platbu nepovažuje. </w:t>
            </w:r>
          </w:p>
          <w:p w14:paraId="77FD0691" w14:textId="77777777" w:rsidR="00843B22" w:rsidRPr="00843B22" w:rsidRDefault="00843B22" w:rsidP="00843B22">
            <w:pPr>
              <w:spacing w:line="276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3B22"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  <w:t xml:space="preserve">Ad 4. V daném případě je využíván § 57 odst. 3 z. č. 280/2009 Sb., daňového řádu (dále jen „daňový řád“). </w:t>
            </w:r>
          </w:p>
          <w:p w14:paraId="40F1CDAE" w14:textId="77777777" w:rsidR="00843B22" w:rsidRPr="00843B22" w:rsidRDefault="00843B22" w:rsidP="00843B22">
            <w:pPr>
              <w:spacing w:line="276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3B22"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  <w:t>Ad 5. Podněty FAÚ jsou předávány orgánům FS interní aplikací, do které mají orgány FS zřízen dálkový přístup.</w:t>
            </w:r>
          </w:p>
          <w:p w14:paraId="176C605C" w14:textId="77777777" w:rsidR="00843B22" w:rsidRPr="00843B22" w:rsidRDefault="00843B22" w:rsidP="00843B22">
            <w:pPr>
              <w:spacing w:line="276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3B22"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  <w:t xml:space="preserve">Ad 6. Podnět od FAÚ nezahajuje úkony při správě daní – tyto zahajuje správce daně z moci úřední, pakliže zjistí, že daňovým subjektem tvrzená daňová povinnost může být nesprávná. </w:t>
            </w:r>
          </w:p>
          <w:p w14:paraId="33B95C39" w14:textId="77777777" w:rsidR="00843B22" w:rsidRPr="00843B22" w:rsidRDefault="00843B22" w:rsidP="00843B22">
            <w:pPr>
              <w:spacing w:line="276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3B22"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  <w:t xml:space="preserve">Ad 7. Správce daně se řídí § 38x zákona o daních z příjmů. </w:t>
            </w:r>
          </w:p>
          <w:p w14:paraId="6913D663" w14:textId="77777777" w:rsidR="00843B22" w:rsidRPr="00843B22" w:rsidRDefault="00843B22" w:rsidP="00843B22">
            <w:pPr>
              <w:spacing w:line="276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3B22"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  <w:t xml:space="preserve">Ad 8. Správce daně se řídí § 38z zákona o daních z příjmů. </w:t>
            </w:r>
          </w:p>
          <w:p w14:paraId="39149272" w14:textId="77777777" w:rsidR="00843B22" w:rsidRPr="00843B22" w:rsidRDefault="00843B22" w:rsidP="00843B22">
            <w:pPr>
              <w:spacing w:line="276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3B22"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  <w:t xml:space="preserve">Ad 9. U opakovaných vkladů není postup metodicky upraven. </w:t>
            </w:r>
          </w:p>
          <w:p w14:paraId="6542EA44" w14:textId="77777777" w:rsidR="00843B22" w:rsidRPr="00843B22" w:rsidRDefault="00843B22" w:rsidP="00843B22">
            <w:pPr>
              <w:spacing w:line="276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3B22"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  <w:t>Ad 10. Dle § 2 odst. 2 písm. a) AML se vklad na účet vedený u peněžního ústavu za platbu nepovažuje. Správce daně řeší přestupky na úseku tohoto zákona vymezené jeho § 5.</w:t>
            </w:r>
          </w:p>
          <w:p w14:paraId="53221E26" w14:textId="77777777" w:rsidR="00843B22" w:rsidRPr="00843B22" w:rsidRDefault="00843B22" w:rsidP="00843B22">
            <w:pPr>
              <w:spacing w:line="276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3B22"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  <w:t>Ad 11. V případě zjištění, že platba mezi osobami překročila limit (a je platbou podle AML, resp. nepodléhá jím stanoveným výjimkám), je zahájeno řízení o přestupku vedené dle procesních pravidel z. č. 500/2004 Sb., správního řádu a z. č. 250/2016 Sb., o odpovědnosti za přestupky a řízení o nich.</w:t>
            </w:r>
          </w:p>
          <w:p w14:paraId="5EEB83C6" w14:textId="0FEC4572" w:rsidR="00843B22" w:rsidRPr="00843B22" w:rsidRDefault="00843B22" w:rsidP="00843B22">
            <w:pPr>
              <w:spacing w:line="276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3B22"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  <w:t xml:space="preserve">Ad 12. Počet postoupení od FAÚ v roce 2022 byl 2.239, v roce 2023 byl 2.496 a v roce 2024 byl 2.347. </w:t>
            </w:r>
          </w:p>
          <w:p w14:paraId="0C2B3952" w14:textId="77777777" w:rsidR="00843B22" w:rsidRPr="00843B22" w:rsidRDefault="00843B22" w:rsidP="00843B22">
            <w:pPr>
              <w:spacing w:line="276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3B22"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  <w:t xml:space="preserve">Ad 13.V příloze naleznete požadované vzorové výzvy. </w:t>
            </w:r>
          </w:p>
          <w:p w14:paraId="7142B1F6" w14:textId="77777777" w:rsidR="00843B22" w:rsidRPr="00843B22" w:rsidRDefault="00843B22" w:rsidP="00843B22">
            <w:pPr>
              <w:spacing w:line="276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3B22"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  <w:t xml:space="preserve">Ad 14.Daňový řád v § 9 odst. 3 zakotvuje právo správce daně zpracovávat osobní údaje a jiné údaje. Tyto se uchovávají v daňovém spise a doba jejich uchování závisí na oběhu konkrétního dokumentu obsahujícího takové údaje. Oběh dokumentu se v návaznosti na zákon č. 499/2004 Sb., o archivnictví a spisové službě a o změně některých zákonů, a vyhlášku č. 259/2012 Sb., o podrobnostech výkonu spisové služby, v prostředí Finanční správy ČR řídí především Spisovým řádem Finanční správy ČR. Přílohou tohoto interního předpisu je mj. spisový a skartační plán, který stanoví také skartační lhůtu (nejčastěji 5 a 10 let) představující minimální dobu, během níž musí být dokument uložen u původce tohoto dokumentu. Dobu uchování údajů pak v konečné fázi různým způsobem ovlivňují příslušné úkony daňového, resp. skartačního řízení, než dojde ke zničení dokumentu (lhostejno zda v digitální či analogové podobě), a tím i k ukončení doby uchování předmětných údajů. Spisový řád byl již dříve poskytnut a zveřejněn. Naleznete jej zde: https://financnisprava.gov.cz/cs/financni-sprava/povinne-zverejnovane-informace/informace-podle-zakona-c-106-1999-sb/poskytnute-informace-dle-zakona-106-1999sb-gfr/2024, a to u data 7. 3. 2024. </w:t>
            </w:r>
          </w:p>
          <w:p w14:paraId="26B22CE5" w14:textId="77777777" w:rsidR="00843B22" w:rsidRPr="00843B22" w:rsidRDefault="00843B22" w:rsidP="00843B22">
            <w:pPr>
              <w:spacing w:line="276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3B22"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  <w:t>Ad 15. Subjekt údajů může žádat o opravu nebo výmaz svých osobních údajů, a to:</w:t>
            </w:r>
          </w:p>
          <w:p w14:paraId="1C7110DB" w14:textId="646BD06B" w:rsidR="00843B22" w:rsidRPr="00843B22" w:rsidRDefault="00843B22" w:rsidP="00843B22">
            <w:pPr>
              <w:pStyle w:val="Odstavecseseznamem"/>
              <w:numPr>
                <w:ilvl w:val="0"/>
                <w:numId w:val="2"/>
              </w:numPr>
              <w:spacing w:line="276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3B22"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  <w:t>písemně doručením dokumentu do podatelky nebo adresu příslušného orgánu FS ČR,</w:t>
            </w:r>
          </w:p>
          <w:p w14:paraId="38A055DC" w14:textId="7743477C" w:rsidR="00843B22" w:rsidRPr="00843B22" w:rsidRDefault="00843B22" w:rsidP="00843B22">
            <w:pPr>
              <w:pStyle w:val="Odstavecseseznamem"/>
              <w:numPr>
                <w:ilvl w:val="0"/>
                <w:numId w:val="2"/>
              </w:numPr>
              <w:spacing w:line="276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3B22"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  <w:t>podáním ústně do protokolu u příslušného orgánu FS ČR,</w:t>
            </w:r>
          </w:p>
          <w:p w14:paraId="7A0AAA84" w14:textId="62DB4CED" w:rsidR="00843B22" w:rsidRPr="00843B22" w:rsidRDefault="00843B22" w:rsidP="00843B22">
            <w:pPr>
              <w:pStyle w:val="Odstavecseseznamem"/>
              <w:numPr>
                <w:ilvl w:val="0"/>
                <w:numId w:val="2"/>
              </w:numPr>
              <w:spacing w:line="276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3B22"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  <w:t>využitím aplikace EPO dostupné na elektronické adrese podatelny orgánu FS ČR,</w:t>
            </w:r>
          </w:p>
          <w:p w14:paraId="063C82BE" w14:textId="1D91777B" w:rsidR="00843B22" w:rsidRPr="00843B22" w:rsidRDefault="00843B22" w:rsidP="00843B22">
            <w:pPr>
              <w:pStyle w:val="Odstavecseseznamem"/>
              <w:numPr>
                <w:ilvl w:val="0"/>
                <w:numId w:val="2"/>
              </w:numPr>
              <w:spacing w:line="276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3B22"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  <w:t>odesláním dokumentu datovou schránkou příslušnému orgánu FS ČR.</w:t>
            </w:r>
          </w:p>
          <w:p w14:paraId="66AD8782" w14:textId="5A705F01" w:rsidR="0094322E" w:rsidRPr="00843B22" w:rsidRDefault="00843B22" w:rsidP="00843B22">
            <w:pPr>
              <w:spacing w:line="276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3B22"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  <w:t>Správce musí informovat subjekt údajů o výsledku žádosti, a to v přiměřené lhůtě – nejpozději však do jednoho měsíce (v ojedinělých případech lze tuto lhůtu prodloužit max. o dva měsíce). Pokud správce žádosti nevyhoví, musí subjektu údajů sdělit důvody odmítnutí.</w:t>
            </w:r>
          </w:p>
        </w:tc>
      </w:tr>
    </w:tbl>
    <w:p w14:paraId="553B5474" w14:textId="77777777" w:rsidR="00BC702A" w:rsidRDefault="00BC702A"/>
    <w:sectPr w:rsidR="00BC702A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8729D"/>
    <w:multiLevelType w:val="hybridMultilevel"/>
    <w:tmpl w:val="09C66364"/>
    <w:lvl w:ilvl="0" w:tplc="FE54A448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0E2235"/>
    <w:multiLevelType w:val="hybridMultilevel"/>
    <w:tmpl w:val="00D418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6257576">
    <w:abstractNumId w:val="1"/>
  </w:num>
  <w:num w:numId="2" w16cid:durableId="1931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22E"/>
    <w:rsid w:val="00843B22"/>
    <w:rsid w:val="0094322E"/>
    <w:rsid w:val="00BC702A"/>
    <w:rsid w:val="00D63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06E12"/>
  <w15:docId w15:val="{513FDDE4-EA38-4341-BC4D-2ADF44CDF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43B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807</Words>
  <Characters>4764</Characters>
  <Application>Microsoft Office Word</Application>
  <DocSecurity>0</DocSecurity>
  <Lines>39</Lines>
  <Paragraphs>11</Paragraphs>
  <ScaleCrop>false</ScaleCrop>
  <Company>Stimulsoft Reports.JS 2024.2.6 from 2024.05.20</Company>
  <LinksUpToDate>false</LinksUpToDate>
  <CharactersWithSpaces>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2025-11-24T12:39:00Z</dcterms:created>
  <dcterms:modified xsi:type="dcterms:W3CDTF">2025-11-24T12:39:00Z</dcterms:modified>
  <cp:contentStatus>Netscape * Mozilla/5.0 (Windows NT 10.0; Win64; x64) AppleWebKit/537.36 (KHTML, like Gecko) Chrome/142.0.0.0 Safari/537.36 Edg/142.0.0.0</cp:contentStatus>
</cp:coreProperties>
</file>